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902DB9" w:rsidRPr="00B266B0">
        <w:rPr>
          <w:noProof w:val="0"/>
          <w:sz w:val="24"/>
          <w:szCs w:val="24"/>
        </w:rPr>
        <w:t xml:space="preserve">Meeting </w:t>
      </w:r>
      <w:r w:rsidR="00902DB9">
        <w:rPr>
          <w:noProof w:val="0"/>
          <w:sz w:val="24"/>
          <w:szCs w:val="24"/>
        </w:rPr>
        <w:t>#97</w:t>
      </w:r>
      <w:r w:rsidR="00813245">
        <w:rPr>
          <w:noProof w:val="0"/>
          <w:sz w:val="24"/>
          <w:szCs w:val="24"/>
        </w:rPr>
        <w:t>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936071">
        <w:rPr>
          <w:bCs/>
          <w:noProof w:val="0"/>
          <w:sz w:val="24"/>
          <w:szCs w:val="24"/>
        </w:rPr>
        <w:t>7</w:t>
      </w:r>
      <w:r w:rsidR="00B70451">
        <w:rPr>
          <w:bCs/>
          <w:noProof w:val="0"/>
          <w:sz w:val="24"/>
          <w:szCs w:val="24"/>
        </w:rPr>
        <w:t>02695</w:t>
      </w:r>
    </w:p>
    <w:p w:rsidR="00CD4C7B" w:rsidRPr="00B266B0" w:rsidRDefault="00940212" w:rsidP="00CD4C7B">
      <w:pPr>
        <w:pStyle w:val="Header"/>
        <w:tabs>
          <w:tab w:val="right" w:pos="9639"/>
        </w:tabs>
        <w:rPr>
          <w:bCs/>
          <w:noProof w:val="0"/>
          <w:sz w:val="24"/>
          <w:szCs w:val="24"/>
        </w:rPr>
      </w:pPr>
      <w:r>
        <w:rPr>
          <w:rFonts w:eastAsia="SimSun"/>
          <w:noProof w:val="0"/>
          <w:sz w:val="24"/>
          <w:szCs w:val="24"/>
          <w:lang w:eastAsia="zh-CN"/>
        </w:rPr>
        <w:t>Spokane</w:t>
      </w:r>
      <w:r w:rsidR="00C24650" w:rsidRPr="00C24650">
        <w:rPr>
          <w:rFonts w:eastAsia="SimSun"/>
          <w:noProof w:val="0"/>
          <w:sz w:val="24"/>
          <w:szCs w:val="24"/>
          <w:lang w:eastAsia="zh-CN"/>
        </w:rPr>
        <w:t xml:space="preserve">, </w:t>
      </w:r>
      <w:r>
        <w:rPr>
          <w:rFonts w:eastAsia="SimSun"/>
          <w:noProof w:val="0"/>
          <w:sz w:val="24"/>
          <w:szCs w:val="24"/>
          <w:lang w:eastAsia="zh-CN"/>
        </w:rPr>
        <w:t>USA</w:t>
      </w:r>
      <w:r w:rsidR="00C24650" w:rsidRPr="00C24650">
        <w:rPr>
          <w:rFonts w:eastAsia="SimSun"/>
          <w:noProof w:val="0"/>
          <w:sz w:val="24"/>
          <w:szCs w:val="24"/>
          <w:lang w:eastAsia="zh-CN"/>
        </w:rPr>
        <w:t xml:space="preserve">, </w:t>
      </w:r>
      <w:r w:rsidR="00813245">
        <w:rPr>
          <w:rFonts w:eastAsia="SimSun"/>
          <w:noProof w:val="0"/>
          <w:sz w:val="24"/>
          <w:szCs w:val="24"/>
          <w:lang w:eastAsia="zh-CN"/>
        </w:rPr>
        <w:t>3</w:t>
      </w:r>
      <w:r w:rsidR="00C92967">
        <w:rPr>
          <w:rFonts w:eastAsia="SimSun"/>
          <w:noProof w:val="0"/>
          <w:sz w:val="24"/>
          <w:szCs w:val="24"/>
          <w:lang w:eastAsia="zh-CN"/>
        </w:rPr>
        <w:t xml:space="preserve"> - </w:t>
      </w:r>
      <w:r w:rsidR="00813245">
        <w:rPr>
          <w:rFonts w:eastAsia="SimSun"/>
          <w:noProof w:val="0"/>
          <w:sz w:val="24"/>
          <w:szCs w:val="24"/>
          <w:lang w:eastAsia="zh-CN"/>
        </w:rPr>
        <w:t>7</w:t>
      </w:r>
      <w:r w:rsidR="00C92967">
        <w:rPr>
          <w:rFonts w:eastAsia="SimSun"/>
          <w:noProof w:val="0"/>
          <w:sz w:val="24"/>
          <w:szCs w:val="24"/>
          <w:lang w:eastAsia="zh-CN"/>
        </w:rPr>
        <w:t xml:space="preserve"> </w:t>
      </w:r>
      <w:r w:rsidR="00813245">
        <w:rPr>
          <w:rFonts w:eastAsia="SimSun"/>
          <w:noProof w:val="0"/>
          <w:sz w:val="24"/>
          <w:szCs w:val="24"/>
          <w:lang w:eastAsia="zh-CN"/>
        </w:rPr>
        <w:t xml:space="preserve">April </w:t>
      </w:r>
      <w:r w:rsidR="00C24650" w:rsidRPr="00C24650">
        <w:rPr>
          <w:rFonts w:eastAsia="SimSun"/>
          <w:noProof w:val="0"/>
          <w:sz w:val="24"/>
          <w:szCs w:val="24"/>
          <w:lang w:eastAsia="zh-CN"/>
        </w:rPr>
        <w:t>201</w:t>
      </w:r>
      <w:r w:rsidR="00936071">
        <w:rPr>
          <w:rFonts w:eastAsia="SimSun"/>
          <w:noProof w:val="0"/>
          <w:sz w:val="24"/>
          <w:szCs w:val="24"/>
          <w:lang w:eastAsia="zh-CN"/>
        </w:rPr>
        <w:t>7</w:t>
      </w:r>
    </w:p>
    <w:p w:rsidR="00CD4C7B" w:rsidRPr="00B266B0" w:rsidRDefault="00CD4C7B" w:rsidP="00CD4C7B">
      <w:pPr>
        <w:pStyle w:val="Header"/>
        <w:rPr>
          <w:bCs/>
          <w:noProof w:val="0"/>
          <w:sz w:val="24"/>
        </w:rPr>
      </w:pPr>
    </w:p>
    <w:p w:rsidR="00CD4C7B" w:rsidRPr="00B266B0" w:rsidRDefault="00CD4C7B" w:rsidP="00CD4C7B">
      <w:pPr>
        <w:pStyle w:val="Header"/>
        <w:rPr>
          <w:bCs/>
          <w:noProof w:val="0"/>
          <w:sz w:val="24"/>
        </w:rPr>
      </w:pPr>
    </w:p>
    <w:p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70451">
        <w:rPr>
          <w:rFonts w:cs="Arial"/>
          <w:b/>
          <w:bCs/>
          <w:sz w:val="24"/>
        </w:rPr>
        <w:t>10.4.1.1</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70451">
        <w:rPr>
          <w:rFonts w:ascii="Arial" w:hAnsi="Arial" w:cs="Arial"/>
          <w:b/>
          <w:bCs/>
          <w:sz w:val="24"/>
        </w:rPr>
        <w:t>Modularity for NR RRC</w:t>
      </w:r>
    </w:p>
    <w:p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B70451">
        <w:rPr>
          <w:rFonts w:ascii="Arial" w:hAnsi="Arial" w:cs="Arial"/>
          <w:b/>
          <w:bCs/>
          <w:sz w:val="24"/>
        </w:rPr>
        <w:t xml:space="preserve">NR_NewRAT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B70451">
        <w:rPr>
          <w:rFonts w:ascii="Arial" w:hAnsi="Arial" w:cs="Arial"/>
          <w:b/>
          <w:bCs/>
          <w:sz w:val="24"/>
        </w:rPr>
        <w:t>15</w:t>
      </w:r>
    </w:p>
    <w:p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CD4C7B" w:rsidRPr="006E13D1" w:rsidRDefault="00CD4C7B" w:rsidP="00CD4C7B">
      <w:pPr>
        <w:pStyle w:val="Heading1"/>
      </w:pPr>
      <w:r w:rsidRPr="006E13D1">
        <w:t>1</w:t>
      </w:r>
      <w:r w:rsidRPr="006E13D1">
        <w:tab/>
      </w:r>
      <w:r w:rsidR="0056573F">
        <w:t>Introduction</w:t>
      </w:r>
    </w:p>
    <w:p w:rsidR="00CD4C7B" w:rsidRPr="006E13D1" w:rsidRDefault="00B70451" w:rsidP="00CD4C7B">
      <w:r>
        <w:t>The recent email discussion(s) on NR ASN.1 details touched the subject of modularization of NR RRC. In simple terms, this means the structure of the ASN.1 modules defined for NR RRC. With the RAN#75 decision to adopt a two-step ASN.1 freeze for Rel-15, we discuss the differences between different approaches to modularity in NR RRC in this contribution.</w:t>
      </w:r>
    </w:p>
    <w:p w:rsidR="00CD4C7B" w:rsidRPr="006E13D1" w:rsidRDefault="00CD4C7B" w:rsidP="00CD4C7B">
      <w:pPr>
        <w:pStyle w:val="Heading1"/>
      </w:pPr>
      <w:r w:rsidRPr="006E13D1">
        <w:t>2</w:t>
      </w:r>
      <w:r w:rsidRPr="006E13D1">
        <w:tab/>
      </w:r>
      <w:r w:rsidR="00B70451">
        <w:t>Current LTE ASN.1 module structure</w:t>
      </w:r>
    </w:p>
    <w:p w:rsidR="00B70451" w:rsidRDefault="00B70451" w:rsidP="00CD4C7B">
      <w:r>
        <w:t>The LTE has had separate modules since Rel-8, but with the advent of D2D and NB-IoT, the number of modules has increased as Figure 1 shows (note that the arrows in figure are showing the IMPORT directions: E.g. Inter-Node messages – module IMPORTs some definitions from the LTE – module).</w:t>
      </w:r>
    </w:p>
    <w:p w:rsidR="00B70451" w:rsidRDefault="00B70451" w:rsidP="00B70451">
      <w:pPr>
        <w:jc w:val="center"/>
      </w:pPr>
      <w:r>
        <w:rPr>
          <w:noProof/>
          <w:lang w:val="fi-FI" w:eastAsia="ja-JP"/>
        </w:rPr>
        <w:drawing>
          <wp:inline distT="0" distB="0" distL="0" distR="0" wp14:anchorId="575F8E0F">
            <wp:extent cx="3926205" cy="16948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26205" cy="1694815"/>
                    </a:xfrm>
                    <a:prstGeom prst="rect">
                      <a:avLst/>
                    </a:prstGeom>
                    <a:noFill/>
                  </pic:spPr>
                </pic:pic>
              </a:graphicData>
            </a:graphic>
          </wp:inline>
        </w:drawing>
      </w:r>
    </w:p>
    <w:p w:rsidR="00B70451" w:rsidRPr="00B70451" w:rsidRDefault="00B70451" w:rsidP="00B70451">
      <w:pPr>
        <w:pStyle w:val="Caption"/>
        <w:jc w:val="center"/>
        <w:rPr>
          <w:i w:val="0"/>
        </w:rPr>
      </w:pPr>
      <w:r w:rsidRPr="00B70451">
        <w:rPr>
          <w:b/>
          <w:i w:val="0"/>
        </w:rPr>
        <w:t xml:space="preserve">Figure </w:t>
      </w:r>
      <w:r w:rsidRPr="00B70451">
        <w:rPr>
          <w:b/>
          <w:i w:val="0"/>
        </w:rPr>
        <w:fldChar w:fldCharType="begin"/>
      </w:r>
      <w:r w:rsidRPr="00B70451">
        <w:rPr>
          <w:b/>
          <w:i w:val="0"/>
        </w:rPr>
        <w:instrText xml:space="preserve"> SEQ Figure \* ARABIC </w:instrText>
      </w:r>
      <w:r w:rsidRPr="00B70451">
        <w:rPr>
          <w:b/>
          <w:i w:val="0"/>
        </w:rPr>
        <w:fldChar w:fldCharType="separate"/>
      </w:r>
      <w:r w:rsidR="00C822A3">
        <w:rPr>
          <w:b/>
          <w:i w:val="0"/>
          <w:noProof/>
        </w:rPr>
        <w:t>1</w:t>
      </w:r>
      <w:r w:rsidRPr="00B70451">
        <w:rPr>
          <w:b/>
          <w:i w:val="0"/>
        </w:rPr>
        <w:fldChar w:fldCharType="end"/>
      </w:r>
      <w:r w:rsidRPr="00B70451">
        <w:rPr>
          <w:b/>
          <w:i w:val="0"/>
        </w:rPr>
        <w:t>.</w:t>
      </w:r>
      <w:r w:rsidRPr="00B70451">
        <w:rPr>
          <w:i w:val="0"/>
        </w:rPr>
        <w:t xml:space="preserve"> LTE Rel-13 ASN.1 module structure</w:t>
      </w:r>
    </w:p>
    <w:p w:rsidR="00B70451" w:rsidRDefault="00B70451" w:rsidP="00CD4C7B">
      <w:r w:rsidRPr="00B70451">
        <w:rPr>
          <w:b/>
        </w:rPr>
        <w:t>Observation 1:</w:t>
      </w:r>
      <w:r>
        <w:t xml:space="preserve"> LTE ASN.1 has had modular structure since Rel-8.</w:t>
      </w:r>
    </w:p>
    <w:p w:rsidR="0049040C" w:rsidRDefault="00B70451" w:rsidP="00B70451">
      <w:r>
        <w:t xml:space="preserve">The one thing to remember with modules is that “circular” imports (i.e. importing def1 from module1 to module2 and at the same time importing def2 from module2 to module1) are not allowed, as Figure 2 shows: </w:t>
      </w:r>
      <w:r w:rsidR="0049040C">
        <w:t>If such cases are needed, then a third module should be used for the common parts.</w:t>
      </w:r>
    </w:p>
    <w:p w:rsidR="0049040C" w:rsidRDefault="001B1B4B" w:rsidP="0049040C">
      <w:pPr>
        <w:jc w:val="center"/>
      </w:pPr>
      <w:bookmarkStart w:id="1" w:name="_GoBack"/>
      <w:bookmarkEnd w:id="1"/>
      <w:r>
        <w:rPr>
          <w:noProof/>
          <w:lang w:val="fi-FI" w:eastAsia="ja-JP"/>
        </w:rPr>
        <w:lastRenderedPageBreak/>
        <w:drawing>
          <wp:inline distT="0" distB="0" distL="0" distR="0" wp14:anchorId="50D841A3">
            <wp:extent cx="4913630" cy="2804160"/>
            <wp:effectExtent l="0" t="0" r="127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13630" cy="2804160"/>
                    </a:xfrm>
                    <a:prstGeom prst="rect">
                      <a:avLst/>
                    </a:prstGeom>
                    <a:noFill/>
                  </pic:spPr>
                </pic:pic>
              </a:graphicData>
            </a:graphic>
          </wp:inline>
        </w:drawing>
      </w:r>
    </w:p>
    <w:p w:rsidR="0049040C" w:rsidRPr="00B70451" w:rsidRDefault="0049040C" w:rsidP="0049040C">
      <w:pPr>
        <w:pStyle w:val="Caption"/>
        <w:jc w:val="center"/>
        <w:rPr>
          <w:i w:val="0"/>
        </w:rPr>
      </w:pPr>
      <w:r w:rsidRPr="00B70451">
        <w:rPr>
          <w:b/>
          <w:i w:val="0"/>
        </w:rPr>
        <w:t xml:space="preserve">Figure </w:t>
      </w:r>
      <w:r w:rsidRPr="00B70451">
        <w:rPr>
          <w:b/>
          <w:i w:val="0"/>
        </w:rPr>
        <w:fldChar w:fldCharType="begin"/>
      </w:r>
      <w:r w:rsidRPr="00B70451">
        <w:rPr>
          <w:b/>
          <w:i w:val="0"/>
        </w:rPr>
        <w:instrText xml:space="preserve"> SEQ Figure \* ARABIC </w:instrText>
      </w:r>
      <w:r w:rsidRPr="00B70451">
        <w:rPr>
          <w:b/>
          <w:i w:val="0"/>
        </w:rPr>
        <w:fldChar w:fldCharType="separate"/>
      </w:r>
      <w:r w:rsidR="00C822A3">
        <w:rPr>
          <w:b/>
          <w:i w:val="0"/>
          <w:noProof/>
        </w:rPr>
        <w:t>2</w:t>
      </w:r>
      <w:r w:rsidRPr="00B70451">
        <w:rPr>
          <w:b/>
          <w:i w:val="0"/>
        </w:rPr>
        <w:fldChar w:fldCharType="end"/>
      </w:r>
      <w:r w:rsidRPr="00B70451">
        <w:rPr>
          <w:b/>
          <w:i w:val="0"/>
        </w:rPr>
        <w:t>.</w:t>
      </w:r>
      <w:r w:rsidRPr="00B70451">
        <w:rPr>
          <w:i w:val="0"/>
        </w:rPr>
        <w:t xml:space="preserve"> </w:t>
      </w:r>
      <w:r>
        <w:rPr>
          <w:i w:val="0"/>
        </w:rPr>
        <w:t>Right way to IMPORT common definitions</w:t>
      </w:r>
    </w:p>
    <w:p w:rsidR="0049040C" w:rsidRDefault="0049040C" w:rsidP="0049040C">
      <w:r>
        <w:rPr>
          <w:b/>
        </w:rPr>
        <w:t>Observation 2</w:t>
      </w:r>
      <w:r w:rsidRPr="00B70451">
        <w:rPr>
          <w:b/>
        </w:rPr>
        <w:t>:</w:t>
      </w:r>
      <w:r>
        <w:t xml:space="preserve"> ASN.1 language bases some restrictions on reuse of IE definitions.</w:t>
      </w:r>
    </w:p>
    <w:p w:rsidR="007D6E4A" w:rsidRDefault="0049040C" w:rsidP="00B70451">
      <w:r>
        <w:t xml:space="preserve">The obvious corollary of the IMPORTing rules is that a common module that should be used by all other modules should preferably exist from the first version onwards: </w:t>
      </w:r>
      <w:r w:rsidR="007D6E4A">
        <w:t xml:space="preserve">This leads to a rule that </w:t>
      </w:r>
      <w:r w:rsidR="007D6E4A" w:rsidRPr="007D6E4A">
        <w:rPr>
          <w:b/>
        </w:rPr>
        <w:t>elements residing in more than one module should be always defined in the common module</w:t>
      </w:r>
      <w:r w:rsidR="007D6E4A">
        <w:t>.</w:t>
      </w:r>
    </w:p>
    <w:p w:rsidR="007D6E4A" w:rsidRDefault="007D6E4A" w:rsidP="00B70451">
      <w:r>
        <w:rPr>
          <w:noProof/>
          <w:lang w:val="fi-FI" w:eastAsia="ja-JP"/>
        </w:rPr>
        <w:drawing>
          <wp:inline distT="0" distB="0" distL="0" distR="0" wp14:anchorId="66E883C4">
            <wp:extent cx="6180903" cy="311975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89966" cy="3124329"/>
                    </a:xfrm>
                    <a:prstGeom prst="rect">
                      <a:avLst/>
                    </a:prstGeom>
                    <a:noFill/>
                  </pic:spPr>
                </pic:pic>
              </a:graphicData>
            </a:graphic>
          </wp:inline>
        </w:drawing>
      </w:r>
    </w:p>
    <w:p w:rsidR="007D6E4A" w:rsidRPr="00B70451" w:rsidRDefault="007D6E4A" w:rsidP="007D6E4A">
      <w:pPr>
        <w:pStyle w:val="Caption"/>
        <w:jc w:val="center"/>
        <w:rPr>
          <w:i w:val="0"/>
        </w:rPr>
      </w:pPr>
      <w:r w:rsidRPr="00B70451">
        <w:rPr>
          <w:b/>
          <w:i w:val="0"/>
        </w:rPr>
        <w:t xml:space="preserve">Figure </w:t>
      </w:r>
      <w:r w:rsidRPr="00B70451">
        <w:rPr>
          <w:b/>
          <w:i w:val="0"/>
        </w:rPr>
        <w:fldChar w:fldCharType="begin"/>
      </w:r>
      <w:r w:rsidRPr="00B70451">
        <w:rPr>
          <w:b/>
          <w:i w:val="0"/>
        </w:rPr>
        <w:instrText xml:space="preserve"> SEQ Figure \* ARABIC </w:instrText>
      </w:r>
      <w:r w:rsidRPr="00B70451">
        <w:rPr>
          <w:b/>
          <w:i w:val="0"/>
        </w:rPr>
        <w:fldChar w:fldCharType="separate"/>
      </w:r>
      <w:r w:rsidR="00C822A3">
        <w:rPr>
          <w:b/>
          <w:i w:val="0"/>
          <w:noProof/>
        </w:rPr>
        <w:t>3</w:t>
      </w:r>
      <w:r w:rsidRPr="00B70451">
        <w:rPr>
          <w:b/>
          <w:i w:val="0"/>
        </w:rPr>
        <w:fldChar w:fldCharType="end"/>
      </w:r>
      <w:r w:rsidRPr="00B70451">
        <w:rPr>
          <w:b/>
          <w:i w:val="0"/>
        </w:rPr>
        <w:t>.</w:t>
      </w:r>
      <w:r w:rsidRPr="00B70451">
        <w:rPr>
          <w:i w:val="0"/>
        </w:rPr>
        <w:t xml:space="preserve"> </w:t>
      </w:r>
      <w:r>
        <w:rPr>
          <w:i w:val="0"/>
        </w:rPr>
        <w:t>Defining a common module in the first release of specification</w:t>
      </w:r>
    </w:p>
    <w:p w:rsidR="007D6E4A" w:rsidRDefault="007D6E4A" w:rsidP="00B70451">
      <w:r w:rsidRPr="007D6E4A">
        <w:rPr>
          <w:b/>
        </w:rPr>
        <w:t>Observation 3:</w:t>
      </w:r>
      <w:r>
        <w:t xml:space="preserve"> If common module is created, there should be a rule that indicates that IE definitions that are used in more than one module are always put to the common module  </w:t>
      </w:r>
    </w:p>
    <w:p w:rsidR="00CD4C7B" w:rsidRDefault="0049040C" w:rsidP="00B70451">
      <w:r>
        <w:t xml:space="preserve">Otherwise, the structure of the modules becomes messy as the specification advances, as shown by </w:t>
      </w:r>
      <w:r w:rsidR="00F841A8">
        <w:t xml:space="preserve">example in </w:t>
      </w:r>
      <w:r>
        <w:t>Figure 3 below.</w:t>
      </w:r>
    </w:p>
    <w:p w:rsidR="008B295B" w:rsidRDefault="00F841A8" w:rsidP="008B295B">
      <w:pPr>
        <w:jc w:val="center"/>
      </w:pPr>
      <w:r>
        <w:rPr>
          <w:noProof/>
          <w:lang w:val="fi-FI" w:eastAsia="ja-JP"/>
        </w:rPr>
        <w:lastRenderedPageBreak/>
        <w:drawing>
          <wp:inline distT="0" distB="0" distL="0" distR="0" wp14:anchorId="4D99DD55">
            <wp:extent cx="6414135" cy="310984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416317" cy="3110898"/>
                    </a:xfrm>
                    <a:prstGeom prst="rect">
                      <a:avLst/>
                    </a:prstGeom>
                    <a:noFill/>
                  </pic:spPr>
                </pic:pic>
              </a:graphicData>
            </a:graphic>
          </wp:inline>
        </w:drawing>
      </w:r>
    </w:p>
    <w:p w:rsidR="00F841A8" w:rsidRPr="00B70451" w:rsidRDefault="00F841A8" w:rsidP="00F841A8">
      <w:pPr>
        <w:pStyle w:val="Caption"/>
        <w:jc w:val="center"/>
        <w:rPr>
          <w:i w:val="0"/>
        </w:rPr>
      </w:pPr>
      <w:r w:rsidRPr="00B70451">
        <w:rPr>
          <w:b/>
          <w:i w:val="0"/>
        </w:rPr>
        <w:t xml:space="preserve">Figure </w:t>
      </w:r>
      <w:r w:rsidRPr="00B70451">
        <w:rPr>
          <w:b/>
          <w:i w:val="0"/>
        </w:rPr>
        <w:fldChar w:fldCharType="begin"/>
      </w:r>
      <w:r w:rsidRPr="00B70451">
        <w:rPr>
          <w:b/>
          <w:i w:val="0"/>
        </w:rPr>
        <w:instrText xml:space="preserve"> SEQ Figure \* ARABIC </w:instrText>
      </w:r>
      <w:r w:rsidRPr="00B70451">
        <w:rPr>
          <w:b/>
          <w:i w:val="0"/>
        </w:rPr>
        <w:fldChar w:fldCharType="separate"/>
      </w:r>
      <w:r w:rsidR="00C822A3">
        <w:rPr>
          <w:b/>
          <w:i w:val="0"/>
          <w:noProof/>
        </w:rPr>
        <w:t>4</w:t>
      </w:r>
      <w:r w:rsidRPr="00B70451">
        <w:rPr>
          <w:b/>
          <w:i w:val="0"/>
        </w:rPr>
        <w:fldChar w:fldCharType="end"/>
      </w:r>
      <w:r w:rsidRPr="00B70451">
        <w:rPr>
          <w:b/>
          <w:i w:val="0"/>
        </w:rPr>
        <w:t>.</w:t>
      </w:r>
      <w:r w:rsidRPr="00B70451">
        <w:rPr>
          <w:i w:val="0"/>
        </w:rPr>
        <w:t xml:space="preserve"> </w:t>
      </w:r>
      <w:r>
        <w:rPr>
          <w:i w:val="0"/>
        </w:rPr>
        <w:t>Defining a common module further in specification evolution</w:t>
      </w:r>
    </w:p>
    <w:p w:rsidR="00F841A8" w:rsidRPr="00F841A8" w:rsidRDefault="00F841A8" w:rsidP="00F841A8">
      <w:r>
        <w:t xml:space="preserve">In this case, in addition to the IE </w:t>
      </w:r>
      <w:r w:rsidRPr="00F841A8">
        <w:rPr>
          <w:i/>
        </w:rPr>
        <w:t>defC-r4</w:t>
      </w:r>
      <w:r>
        <w:t xml:space="preserve">, the IEs </w:t>
      </w:r>
      <w:r w:rsidRPr="00F841A8">
        <w:rPr>
          <w:i/>
        </w:rPr>
        <w:t>def1-r1</w:t>
      </w:r>
      <w:r>
        <w:t xml:space="preserve">, </w:t>
      </w:r>
      <w:r w:rsidRPr="00F841A8">
        <w:rPr>
          <w:i/>
        </w:rPr>
        <w:t>def3-r1</w:t>
      </w:r>
      <w:r>
        <w:t xml:space="preserve">, </w:t>
      </w:r>
      <w:r w:rsidRPr="00F841A8">
        <w:rPr>
          <w:i/>
        </w:rPr>
        <w:t>def4-r2</w:t>
      </w:r>
      <w:r>
        <w:t xml:space="preserve"> and </w:t>
      </w:r>
      <w:r w:rsidRPr="00F841A8">
        <w:rPr>
          <w:i/>
        </w:rPr>
        <w:t>def5-r3</w:t>
      </w:r>
      <w:r>
        <w:t xml:space="preserve"> could all have been placed in the common module, but cannot anymore be done since the move would no longer be backward-compatible. Therefore, in case a common module to put IEs is needed, it should be introduced from the first release onward. For example, in LTE the principle was that the “LTE” module was the common module from which all other modules should IMPORT definitions.</w:t>
      </w:r>
    </w:p>
    <w:p w:rsidR="00F841A8" w:rsidRDefault="00F841A8" w:rsidP="00F841A8">
      <w:r>
        <w:rPr>
          <w:b/>
        </w:rPr>
        <w:t xml:space="preserve">Observation </w:t>
      </w:r>
      <w:r w:rsidR="007D6E4A">
        <w:rPr>
          <w:b/>
        </w:rPr>
        <w:t>4</w:t>
      </w:r>
      <w:r w:rsidRPr="00B70451">
        <w:rPr>
          <w:b/>
        </w:rPr>
        <w:t>:</w:t>
      </w:r>
      <w:r>
        <w:t xml:space="preserve"> Introduction of a common module is best done from the first possible release of RRC. </w:t>
      </w:r>
    </w:p>
    <w:p w:rsidR="00CD4C7B" w:rsidRPr="006E13D1" w:rsidRDefault="00CD4C7B" w:rsidP="00CD4C7B">
      <w:pPr>
        <w:pStyle w:val="Heading1"/>
      </w:pPr>
      <w:r w:rsidRPr="006E13D1">
        <w:t>3</w:t>
      </w:r>
      <w:r w:rsidRPr="006E13D1">
        <w:tab/>
      </w:r>
      <w:r w:rsidR="00F841A8">
        <w:t>Modular structure for NR RRC</w:t>
      </w:r>
    </w:p>
    <w:p w:rsidR="00CD4C7B" w:rsidRPr="006E13D1" w:rsidRDefault="00CD4C7B" w:rsidP="00CD4C7B">
      <w:pPr>
        <w:pStyle w:val="Heading2"/>
      </w:pPr>
      <w:r w:rsidRPr="006E13D1">
        <w:t>3.1</w:t>
      </w:r>
      <w:r w:rsidRPr="006E13D1">
        <w:tab/>
      </w:r>
      <w:r w:rsidR="00F841A8">
        <w:t>Using LTE-like</w:t>
      </w:r>
      <w:r w:rsidRPr="006E13D1">
        <w:t xml:space="preserve"> </w:t>
      </w:r>
      <w:r w:rsidR="00F841A8">
        <w:t>structure</w:t>
      </w:r>
    </w:p>
    <w:p w:rsidR="007D6E4A" w:rsidRPr="006E13D1" w:rsidRDefault="007D6E4A" w:rsidP="007D6E4A">
      <w:r>
        <w:t>The D2D and NB-IoT modules in LTE were created out of necessity: The ProSe protocol was mostly separated from LTE, but reused a part of the IE definitions. Then, NB-IoT was put as a separate module to allow reuse of LTE IE definitions while minimizing the ASN.1 size for low-cost devices, so a separate module was created for that.</w:t>
      </w:r>
    </w:p>
    <w:p w:rsidR="00CD4C7B" w:rsidRDefault="008B59B5" w:rsidP="00AF33DA">
      <w:pPr>
        <w:pStyle w:val="B1"/>
        <w:ind w:left="0" w:firstLine="0"/>
      </w:pPr>
      <w:r w:rsidRPr="008B59B5">
        <w:rPr>
          <w:b/>
        </w:rPr>
        <w:t>Observation 5:</w:t>
      </w:r>
      <w:r>
        <w:t xml:space="preserve"> In LTE, ASN.1 modules have been created when there was a need to have separation for some parts of the configuration or maintain the message-structure independently.</w:t>
      </w:r>
    </w:p>
    <w:p w:rsidR="008B59B5" w:rsidRPr="006E13D1" w:rsidRDefault="008B59B5" w:rsidP="008B59B5">
      <w:pPr>
        <w:pStyle w:val="Heading2"/>
      </w:pPr>
      <w:r w:rsidRPr="006E13D1">
        <w:t>3.</w:t>
      </w:r>
      <w:r>
        <w:t>2</w:t>
      </w:r>
      <w:r w:rsidRPr="006E13D1">
        <w:tab/>
      </w:r>
      <w:r>
        <w:t>Two-step ASN.1 freeze for Rel-15</w:t>
      </w:r>
    </w:p>
    <w:p w:rsidR="008B59B5" w:rsidRDefault="008B59B5" w:rsidP="008B59B5">
      <w:r>
        <w:t xml:space="preserve">RAN#75 agreed to have the accelerated NR development as per proposal in </w:t>
      </w:r>
      <w:hyperlink r:id="rId16" w:history="1">
        <w:r w:rsidRPr="00C460A2">
          <w:rPr>
            <w:rStyle w:val="Hyperlink"/>
            <w:rFonts w:cs="Arial"/>
          </w:rPr>
          <w:t>RP-170741</w:t>
        </w:r>
      </w:hyperlink>
      <w:r>
        <w:t>, wherein the ASN.1 would be frozen in two steps for NR Rel-15: Once in March 2018, and for the second time in September 2018. This means that the NR Rel-15 will have two parts: NSA-only part (March 2018 version) and the full SA+NSA NR (September 2018 version). However, the exact ASN.1 details were left for RAN2 to decide, which means that it would be good to understand how the freezing should be done well ahead of time.</w:t>
      </w:r>
    </w:p>
    <w:p w:rsidR="008B59B5" w:rsidRDefault="008B59B5" w:rsidP="008B59B5">
      <w:r w:rsidRPr="008B59B5">
        <w:rPr>
          <w:b/>
        </w:rPr>
        <w:t>Observation 6:</w:t>
      </w:r>
      <w:r>
        <w:t xml:space="preserve"> RAN2 should progress the details of the two-step ASN.1 freeze of Rel-15.</w:t>
      </w:r>
    </w:p>
    <w:p w:rsidR="008B59B5" w:rsidRDefault="0060056B" w:rsidP="008B59B5">
      <w:r>
        <w:t xml:space="preserve">As discussed in </w:t>
      </w:r>
      <w:hyperlink r:id="rId17" w:history="1">
        <w:r w:rsidRPr="0060056B">
          <w:rPr>
            <w:rStyle w:val="Hyperlink"/>
          </w:rPr>
          <w:t>RP-170491</w:t>
        </w:r>
      </w:hyperlink>
      <w:r>
        <w:t>, the basic decision from RAN#75 means roughly what Figure 5 shows below.</w:t>
      </w:r>
    </w:p>
    <w:p w:rsidR="0060056B" w:rsidRDefault="0060056B" w:rsidP="0060056B">
      <w:pPr>
        <w:jc w:val="center"/>
      </w:pPr>
      <w:r>
        <w:rPr>
          <w:noProof/>
          <w:lang w:val="fi-FI" w:eastAsia="ja-JP"/>
        </w:rPr>
        <w:lastRenderedPageBreak/>
        <w:drawing>
          <wp:inline distT="0" distB="0" distL="0" distR="0" wp14:anchorId="6D6BC8F0" wp14:editId="5B088384">
            <wp:extent cx="4456430" cy="3157855"/>
            <wp:effectExtent l="0" t="0" r="127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456430" cy="3157855"/>
                    </a:xfrm>
                    <a:prstGeom prst="rect">
                      <a:avLst/>
                    </a:prstGeom>
                    <a:noFill/>
                  </pic:spPr>
                </pic:pic>
              </a:graphicData>
            </a:graphic>
          </wp:inline>
        </w:drawing>
      </w:r>
    </w:p>
    <w:p w:rsidR="0060056B" w:rsidRPr="00B70451" w:rsidRDefault="0060056B" w:rsidP="0060056B">
      <w:pPr>
        <w:pStyle w:val="Caption"/>
        <w:jc w:val="center"/>
        <w:rPr>
          <w:i w:val="0"/>
        </w:rPr>
      </w:pPr>
      <w:r w:rsidRPr="00B70451">
        <w:rPr>
          <w:b/>
          <w:i w:val="0"/>
        </w:rPr>
        <w:t xml:space="preserve">Figure </w:t>
      </w:r>
      <w:r w:rsidRPr="00B70451">
        <w:rPr>
          <w:b/>
          <w:i w:val="0"/>
        </w:rPr>
        <w:fldChar w:fldCharType="begin"/>
      </w:r>
      <w:r w:rsidRPr="00B70451">
        <w:rPr>
          <w:b/>
          <w:i w:val="0"/>
        </w:rPr>
        <w:instrText xml:space="preserve"> SEQ Figure \* ARABIC </w:instrText>
      </w:r>
      <w:r w:rsidRPr="00B70451">
        <w:rPr>
          <w:b/>
          <w:i w:val="0"/>
        </w:rPr>
        <w:fldChar w:fldCharType="separate"/>
      </w:r>
      <w:r w:rsidR="00C822A3">
        <w:rPr>
          <w:b/>
          <w:i w:val="0"/>
          <w:noProof/>
        </w:rPr>
        <w:t>5</w:t>
      </w:r>
      <w:r w:rsidRPr="00B70451">
        <w:rPr>
          <w:b/>
          <w:i w:val="0"/>
        </w:rPr>
        <w:fldChar w:fldCharType="end"/>
      </w:r>
      <w:r w:rsidRPr="00B70451">
        <w:rPr>
          <w:b/>
          <w:i w:val="0"/>
        </w:rPr>
        <w:t>.</w:t>
      </w:r>
      <w:r w:rsidRPr="00B70451">
        <w:rPr>
          <w:i w:val="0"/>
        </w:rPr>
        <w:t xml:space="preserve"> </w:t>
      </w:r>
      <w:r>
        <w:rPr>
          <w:i w:val="0"/>
        </w:rPr>
        <w:t xml:space="preserve">Basic specification evolution for the Rel-15 two-step NR RRC ASN.1 freeze </w:t>
      </w:r>
    </w:p>
    <w:p w:rsidR="008B59B5" w:rsidRDefault="0060056B" w:rsidP="008B59B5">
      <w:r>
        <w:t>However, the modularization was not discussed yet, and there are two basic options: Defining the NSA-only version as a separate module, or putting everything into one module. This is depicted in Figure 6 below.</w:t>
      </w:r>
    </w:p>
    <w:p w:rsidR="008B59B5" w:rsidRDefault="0060056B" w:rsidP="008B59B5">
      <w:r>
        <w:rPr>
          <w:noProof/>
          <w:lang w:val="fi-FI" w:eastAsia="ja-JP"/>
        </w:rPr>
        <w:drawing>
          <wp:inline distT="0" distB="0" distL="0" distR="0" wp14:anchorId="61F16689">
            <wp:extent cx="6239510" cy="3091902"/>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246478" cy="3095355"/>
                    </a:xfrm>
                    <a:prstGeom prst="rect">
                      <a:avLst/>
                    </a:prstGeom>
                    <a:noFill/>
                  </pic:spPr>
                </pic:pic>
              </a:graphicData>
            </a:graphic>
          </wp:inline>
        </w:drawing>
      </w:r>
    </w:p>
    <w:p w:rsidR="0060056B" w:rsidRDefault="0060056B" w:rsidP="0060056B">
      <w:pPr>
        <w:pStyle w:val="Caption"/>
        <w:jc w:val="center"/>
        <w:rPr>
          <w:i w:val="0"/>
        </w:rPr>
      </w:pPr>
      <w:r w:rsidRPr="00B70451">
        <w:rPr>
          <w:b/>
          <w:i w:val="0"/>
        </w:rPr>
        <w:t xml:space="preserve">Figure </w:t>
      </w:r>
      <w:r w:rsidRPr="00B70451">
        <w:rPr>
          <w:b/>
          <w:i w:val="0"/>
        </w:rPr>
        <w:fldChar w:fldCharType="begin"/>
      </w:r>
      <w:r w:rsidRPr="00B70451">
        <w:rPr>
          <w:b/>
          <w:i w:val="0"/>
        </w:rPr>
        <w:instrText xml:space="preserve"> SEQ Figure \* ARABIC </w:instrText>
      </w:r>
      <w:r w:rsidRPr="00B70451">
        <w:rPr>
          <w:b/>
          <w:i w:val="0"/>
        </w:rPr>
        <w:fldChar w:fldCharType="separate"/>
      </w:r>
      <w:r w:rsidR="00C822A3">
        <w:rPr>
          <w:b/>
          <w:i w:val="0"/>
          <w:noProof/>
        </w:rPr>
        <w:t>6</w:t>
      </w:r>
      <w:r w:rsidRPr="00B70451">
        <w:rPr>
          <w:b/>
          <w:i w:val="0"/>
        </w:rPr>
        <w:fldChar w:fldCharType="end"/>
      </w:r>
      <w:r w:rsidRPr="00B70451">
        <w:rPr>
          <w:b/>
          <w:i w:val="0"/>
        </w:rPr>
        <w:t>.</w:t>
      </w:r>
      <w:r w:rsidRPr="00B70451">
        <w:rPr>
          <w:i w:val="0"/>
        </w:rPr>
        <w:t xml:space="preserve"> </w:t>
      </w:r>
      <w:r>
        <w:rPr>
          <w:i w:val="0"/>
        </w:rPr>
        <w:t>Modularization possibilities between NSA-only ands NSA+SA for NR Rel-15</w:t>
      </w:r>
    </w:p>
    <w:p w:rsidR="0060056B" w:rsidRDefault="0060056B" w:rsidP="0060056B">
      <w:r>
        <w:t xml:space="preserve">These can also be depicted as (excerpted from </w:t>
      </w:r>
      <w:hyperlink r:id="rId20" w:history="1">
        <w:r w:rsidRPr="0060056B">
          <w:rPr>
            <w:rStyle w:val="Hyperlink"/>
          </w:rPr>
          <w:t>RP-170491</w:t>
        </w:r>
      </w:hyperlink>
      <w:r>
        <w:t>) two basic options, as shown in figure 7 and 8 below.</w:t>
      </w:r>
    </w:p>
    <w:p w:rsidR="0060056B" w:rsidRDefault="0060056B" w:rsidP="0060056B"/>
    <w:p w:rsidR="0060056B" w:rsidRDefault="0060056B" w:rsidP="0060056B">
      <w:pPr>
        <w:jc w:val="center"/>
      </w:pPr>
      <w:r>
        <w:rPr>
          <w:noProof/>
          <w:lang w:val="fi-FI" w:eastAsia="ja-JP"/>
        </w:rPr>
        <w:lastRenderedPageBreak/>
        <w:drawing>
          <wp:inline distT="0" distB="0" distL="0" distR="0" wp14:anchorId="6C1C0443" wp14:editId="09DC7EC5">
            <wp:extent cx="4803775" cy="32981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803775" cy="3298190"/>
                    </a:xfrm>
                    <a:prstGeom prst="rect">
                      <a:avLst/>
                    </a:prstGeom>
                    <a:noFill/>
                  </pic:spPr>
                </pic:pic>
              </a:graphicData>
            </a:graphic>
          </wp:inline>
        </w:drawing>
      </w:r>
    </w:p>
    <w:p w:rsidR="00C822A3" w:rsidRPr="00C822A3" w:rsidRDefault="00C822A3" w:rsidP="00C822A3">
      <w:pPr>
        <w:pStyle w:val="Caption"/>
        <w:jc w:val="center"/>
        <w:rPr>
          <w:i w:val="0"/>
        </w:rPr>
      </w:pPr>
      <w:r w:rsidRPr="00B70451">
        <w:rPr>
          <w:b/>
          <w:i w:val="0"/>
        </w:rPr>
        <w:t xml:space="preserve">Figure </w:t>
      </w:r>
      <w:r w:rsidRPr="00B70451">
        <w:rPr>
          <w:b/>
          <w:i w:val="0"/>
        </w:rPr>
        <w:fldChar w:fldCharType="begin"/>
      </w:r>
      <w:r w:rsidRPr="00B70451">
        <w:rPr>
          <w:b/>
          <w:i w:val="0"/>
        </w:rPr>
        <w:instrText xml:space="preserve"> SEQ Figure \* ARABIC </w:instrText>
      </w:r>
      <w:r w:rsidRPr="00B70451">
        <w:rPr>
          <w:b/>
          <w:i w:val="0"/>
        </w:rPr>
        <w:fldChar w:fldCharType="separate"/>
      </w:r>
      <w:r>
        <w:rPr>
          <w:b/>
          <w:i w:val="0"/>
          <w:noProof/>
        </w:rPr>
        <w:t>6</w:t>
      </w:r>
      <w:r w:rsidRPr="00B70451">
        <w:rPr>
          <w:b/>
          <w:i w:val="0"/>
        </w:rPr>
        <w:fldChar w:fldCharType="end"/>
      </w:r>
      <w:r w:rsidRPr="00B70451">
        <w:rPr>
          <w:b/>
          <w:i w:val="0"/>
        </w:rPr>
        <w:t>.</w:t>
      </w:r>
      <w:r w:rsidRPr="00B70451">
        <w:rPr>
          <w:i w:val="0"/>
        </w:rPr>
        <w:t xml:space="preserve"> </w:t>
      </w:r>
      <w:r w:rsidRPr="00C822A3">
        <w:rPr>
          <w:i w:val="0"/>
        </w:rPr>
        <w:t>Two-step ASN.1 freeze with Option 1</w:t>
      </w:r>
    </w:p>
    <w:p w:rsidR="0060056B" w:rsidRDefault="0060056B" w:rsidP="0060056B"/>
    <w:p w:rsidR="0060056B" w:rsidRDefault="0060056B" w:rsidP="0060056B">
      <w:pPr>
        <w:jc w:val="center"/>
      </w:pPr>
      <w:r>
        <w:rPr>
          <w:noProof/>
          <w:lang w:val="fi-FI" w:eastAsia="ja-JP"/>
        </w:rPr>
        <w:drawing>
          <wp:inline distT="0" distB="0" distL="0" distR="0" wp14:anchorId="6AF80BED" wp14:editId="48EE846C">
            <wp:extent cx="4840605" cy="318833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840605" cy="3188335"/>
                    </a:xfrm>
                    <a:prstGeom prst="rect">
                      <a:avLst/>
                    </a:prstGeom>
                    <a:noFill/>
                  </pic:spPr>
                </pic:pic>
              </a:graphicData>
            </a:graphic>
          </wp:inline>
        </w:drawing>
      </w:r>
    </w:p>
    <w:p w:rsidR="00C822A3" w:rsidRPr="00C822A3" w:rsidRDefault="00C822A3" w:rsidP="00C822A3">
      <w:pPr>
        <w:pStyle w:val="Caption"/>
        <w:jc w:val="center"/>
        <w:rPr>
          <w:i w:val="0"/>
        </w:rPr>
      </w:pPr>
      <w:r w:rsidRPr="00B70451">
        <w:rPr>
          <w:b/>
          <w:i w:val="0"/>
        </w:rPr>
        <w:t xml:space="preserve">Figure </w:t>
      </w:r>
      <w:r w:rsidRPr="00B70451">
        <w:rPr>
          <w:b/>
          <w:i w:val="0"/>
        </w:rPr>
        <w:fldChar w:fldCharType="begin"/>
      </w:r>
      <w:r w:rsidRPr="00B70451">
        <w:rPr>
          <w:b/>
          <w:i w:val="0"/>
        </w:rPr>
        <w:instrText xml:space="preserve"> SEQ Figure \* ARABIC </w:instrText>
      </w:r>
      <w:r w:rsidRPr="00B70451">
        <w:rPr>
          <w:b/>
          <w:i w:val="0"/>
        </w:rPr>
        <w:fldChar w:fldCharType="separate"/>
      </w:r>
      <w:r>
        <w:rPr>
          <w:b/>
          <w:i w:val="0"/>
          <w:noProof/>
        </w:rPr>
        <w:t>6</w:t>
      </w:r>
      <w:r w:rsidRPr="00B70451">
        <w:rPr>
          <w:b/>
          <w:i w:val="0"/>
        </w:rPr>
        <w:fldChar w:fldCharType="end"/>
      </w:r>
      <w:r w:rsidRPr="00B70451">
        <w:rPr>
          <w:b/>
          <w:i w:val="0"/>
        </w:rPr>
        <w:t>.</w:t>
      </w:r>
      <w:r w:rsidRPr="00B70451">
        <w:rPr>
          <w:i w:val="0"/>
        </w:rPr>
        <w:t xml:space="preserve"> </w:t>
      </w:r>
      <w:r w:rsidRPr="00C822A3">
        <w:rPr>
          <w:i w:val="0"/>
        </w:rPr>
        <w:t xml:space="preserve">Two-step ASN.1 freeze with Option </w:t>
      </w:r>
      <w:r>
        <w:rPr>
          <w:i w:val="0"/>
        </w:rPr>
        <w:t>2</w:t>
      </w:r>
    </w:p>
    <w:p w:rsidR="0060056B" w:rsidRDefault="0060056B" w:rsidP="0060056B">
      <w:r>
        <w:t xml:space="preserve"> Since this is something RAN2 should carefully decide, we propose that RAN2 continues the ASN.1 discussion by analysing the pros and cons of these options.</w:t>
      </w:r>
    </w:p>
    <w:p w:rsidR="0060056B" w:rsidRDefault="0060056B" w:rsidP="0060056B">
      <w:r w:rsidRPr="0060056B">
        <w:rPr>
          <w:b/>
        </w:rPr>
        <w:t>Proposal 1:</w:t>
      </w:r>
      <w:r>
        <w:t xml:space="preserve"> RAN2 to evaluate which option to choose for NR Rel-15 ASN.1 freezing: A single module for both NSA-only and SA, or separate modules for NSA and SA parts.</w:t>
      </w:r>
    </w:p>
    <w:p w:rsidR="00F17259" w:rsidRDefault="00F17259" w:rsidP="0060056B">
      <w:r>
        <w:t>The “safest option” would be to stick with just one module, since that is well-known since LTE and UMTS, and anhy problems with that option can be fixed with known methods.</w:t>
      </w:r>
    </w:p>
    <w:p w:rsidR="00F17259" w:rsidRPr="0060056B" w:rsidRDefault="00F17259" w:rsidP="0060056B">
      <w:r>
        <w:rPr>
          <w:b/>
        </w:rPr>
        <w:t>Proposal 2</w:t>
      </w:r>
      <w:r w:rsidRPr="00F17259">
        <w:rPr>
          <w:b/>
        </w:rPr>
        <w:t>:</w:t>
      </w:r>
      <w:r>
        <w:t xml:space="preserve"> If no show-stoppers are found, a single module should be used for NR Rel-15 RRC containing both NSA and SA RRC.</w:t>
      </w:r>
    </w:p>
    <w:p w:rsidR="008B59B5" w:rsidRPr="006E13D1" w:rsidRDefault="008B59B5" w:rsidP="00AF33DA">
      <w:pPr>
        <w:pStyle w:val="B1"/>
        <w:ind w:left="0" w:firstLine="0"/>
      </w:pPr>
    </w:p>
    <w:p w:rsidR="00CD4C7B" w:rsidRPr="006E13D1" w:rsidRDefault="00CD4C7B" w:rsidP="00CD4C7B">
      <w:pPr>
        <w:pStyle w:val="Heading2"/>
      </w:pPr>
      <w:r w:rsidRPr="006E13D1">
        <w:t>3.</w:t>
      </w:r>
      <w:r w:rsidR="008B59B5">
        <w:t>3</w:t>
      </w:r>
      <w:r w:rsidRPr="006E13D1">
        <w:tab/>
      </w:r>
      <w:r w:rsidR="00F841A8">
        <w:t>Feature-specific modules</w:t>
      </w:r>
    </w:p>
    <w:p w:rsidR="007D6E4A" w:rsidRDefault="007D6E4A" w:rsidP="00CD4C7B">
      <w:r>
        <w:t xml:space="preserve">It has been proposed during the email discussion </w:t>
      </w:r>
      <w:r w:rsidRPr="007D6E4A">
        <w:t xml:space="preserve">[NR-AH1#15][NR] RRC ASN.1 </w:t>
      </w:r>
      <w:r>
        <w:t>that each feature could also be defined as a separate module to allow easier feature separation for implementations.</w:t>
      </w:r>
      <w:r w:rsidR="0060056B">
        <w:t xml:space="preserve"> This has been depicted </w:t>
      </w:r>
      <w:r w:rsidR="00C822A3">
        <w:t xml:space="preserve">by DCM </w:t>
      </w:r>
      <w:r w:rsidR="0060056B">
        <w:t>as follows:</w:t>
      </w:r>
    </w:p>
    <w:p w:rsidR="0060056B" w:rsidRDefault="0060056B" w:rsidP="00C822A3">
      <w:pPr>
        <w:jc w:val="center"/>
      </w:pPr>
      <w:r>
        <w:rPr>
          <w:noProof/>
          <w:lang w:val="fi-FI" w:eastAsia="ja-JP"/>
        </w:rPr>
        <w:drawing>
          <wp:inline distT="0" distB="0" distL="0" distR="0" wp14:anchorId="2E2EABD7" wp14:editId="4F832B40">
            <wp:extent cx="3118485" cy="248666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118485" cy="2486660"/>
                    </a:xfrm>
                    <a:prstGeom prst="rect">
                      <a:avLst/>
                    </a:prstGeom>
                    <a:noFill/>
                    <a:ln>
                      <a:noFill/>
                    </a:ln>
                  </pic:spPr>
                </pic:pic>
              </a:graphicData>
            </a:graphic>
          </wp:inline>
        </w:drawing>
      </w:r>
    </w:p>
    <w:p w:rsidR="00C822A3" w:rsidRPr="003D6D94" w:rsidRDefault="00C822A3" w:rsidP="00C822A3">
      <w:pPr>
        <w:pStyle w:val="Caption"/>
        <w:jc w:val="center"/>
        <w:rPr>
          <w:b/>
          <w:i w:val="0"/>
          <w:color w:val="000000" w:themeColor="text1"/>
          <w:sz w:val="20"/>
        </w:rPr>
      </w:pPr>
      <w:r w:rsidRPr="003D6D94">
        <w:rPr>
          <w:b/>
          <w:i w:val="0"/>
          <w:color w:val="000000" w:themeColor="text1"/>
          <w:sz w:val="20"/>
        </w:rPr>
        <w:t xml:space="preserve">Figure </w:t>
      </w:r>
      <w:r w:rsidRPr="003D6D94">
        <w:rPr>
          <w:b/>
          <w:i w:val="0"/>
          <w:color w:val="000000" w:themeColor="text1"/>
          <w:sz w:val="20"/>
        </w:rPr>
        <w:fldChar w:fldCharType="begin"/>
      </w:r>
      <w:r w:rsidRPr="003D6D94">
        <w:rPr>
          <w:b/>
          <w:i w:val="0"/>
          <w:color w:val="000000" w:themeColor="text1"/>
          <w:sz w:val="20"/>
        </w:rPr>
        <w:instrText xml:space="preserve"> SEQ Figure \* ARABIC </w:instrText>
      </w:r>
      <w:r w:rsidRPr="003D6D94">
        <w:rPr>
          <w:b/>
          <w:i w:val="0"/>
          <w:color w:val="000000" w:themeColor="text1"/>
          <w:sz w:val="20"/>
        </w:rPr>
        <w:fldChar w:fldCharType="separate"/>
      </w:r>
      <w:r>
        <w:rPr>
          <w:b/>
          <w:i w:val="0"/>
          <w:noProof/>
          <w:color w:val="000000" w:themeColor="text1"/>
          <w:sz w:val="20"/>
        </w:rPr>
        <w:t>9</w:t>
      </w:r>
      <w:r w:rsidRPr="003D6D94">
        <w:rPr>
          <w:b/>
          <w:i w:val="0"/>
          <w:color w:val="000000" w:themeColor="text1"/>
          <w:sz w:val="20"/>
        </w:rPr>
        <w:fldChar w:fldCharType="end"/>
      </w:r>
      <w:r w:rsidRPr="003D6D94">
        <w:rPr>
          <w:b/>
          <w:i w:val="0"/>
          <w:color w:val="000000" w:themeColor="text1"/>
          <w:sz w:val="20"/>
        </w:rPr>
        <w:t xml:space="preserve">. </w:t>
      </w:r>
      <w:r>
        <w:rPr>
          <w:b/>
          <w:i w:val="0"/>
          <w:color w:val="000000" w:themeColor="text1"/>
          <w:sz w:val="20"/>
        </w:rPr>
        <w:t>Feature-specific ASN.1 freeze for NR</w:t>
      </w:r>
    </w:p>
    <w:p w:rsidR="00AF33DA" w:rsidRDefault="00C822A3" w:rsidP="00CD4C7B">
      <w:r>
        <w:t>We make the following observations from this proposal:</w:t>
      </w:r>
    </w:p>
    <w:p w:rsidR="00C822A3" w:rsidRDefault="00C822A3" w:rsidP="00C822A3">
      <w:pPr>
        <w:pStyle w:val="ListParagraph"/>
        <w:numPr>
          <w:ilvl w:val="0"/>
          <w:numId w:val="5"/>
        </w:numPr>
      </w:pPr>
      <w:r>
        <w:t xml:space="preserve">The proposal requires splitting configuration parts into </w:t>
      </w:r>
      <w:r w:rsidRPr="00C822A3">
        <w:rPr>
          <w:b/>
        </w:rPr>
        <w:t>features</w:t>
      </w:r>
      <w:r>
        <w:t xml:space="preserve"> instead of </w:t>
      </w:r>
      <w:r w:rsidRPr="00C822A3">
        <w:rPr>
          <w:b/>
        </w:rPr>
        <w:t>protocol layers</w:t>
      </w:r>
      <w:r>
        <w:t>. For example, currently RRC has a separation of signalling for common and dedicated parts, which further sub-divide into e.g. bearers, measurement configuration and MAC. This proposal would mean that e.g. MAC configuration could look something like this:</w:t>
      </w:r>
    </w:p>
    <w:p w:rsidR="00C822A3" w:rsidRPr="00800DFE" w:rsidRDefault="00C822A3" w:rsidP="00C822A3">
      <w:pPr>
        <w:pStyle w:val="PL"/>
        <w:shd w:val="clear" w:color="auto" w:fill="E6E6E6"/>
        <w:rPr>
          <w:lang w:val="en-US"/>
        </w:rPr>
      </w:pPr>
      <w:r w:rsidRPr="00800DFE">
        <w:rPr>
          <w:lang w:val="en-US"/>
        </w:rPr>
        <w:t>MAC-MainConfig ::=</w:t>
      </w:r>
      <w:r w:rsidRPr="00800DFE">
        <w:rPr>
          <w:lang w:val="en-US"/>
        </w:rPr>
        <w:tab/>
      </w:r>
      <w:r w:rsidRPr="00800DFE">
        <w:rPr>
          <w:lang w:val="en-US"/>
        </w:rPr>
        <w:tab/>
      </w:r>
      <w:r w:rsidRPr="00800DFE">
        <w:rPr>
          <w:lang w:val="en-US"/>
        </w:rPr>
        <w:tab/>
      </w:r>
      <w:r w:rsidRPr="00800DFE">
        <w:rPr>
          <w:lang w:val="en-US"/>
        </w:rPr>
        <w:tab/>
      </w:r>
      <w:r w:rsidRPr="00800DFE">
        <w:rPr>
          <w:lang w:val="en-US"/>
        </w:rPr>
        <w:tab/>
        <w:t>SEQUENCE {</w:t>
      </w:r>
    </w:p>
    <w:p w:rsidR="00C822A3" w:rsidRDefault="00C822A3" w:rsidP="00C822A3">
      <w:pPr>
        <w:pStyle w:val="PL"/>
        <w:shd w:val="clear" w:color="auto" w:fill="E6E6E6"/>
        <w:rPr>
          <w:lang w:val="en-US"/>
        </w:rPr>
      </w:pPr>
      <w:r w:rsidRPr="00800DFE">
        <w:rPr>
          <w:lang w:val="en-US"/>
        </w:rPr>
        <w:tab/>
      </w:r>
      <w:r>
        <w:rPr>
          <w:lang w:val="en-US"/>
        </w:rPr>
        <w:t>commonMAC-Config-r15</w:t>
      </w:r>
      <w:r w:rsidRPr="00800DFE">
        <w:rPr>
          <w:lang w:val="en-US"/>
        </w:rPr>
        <w:tab/>
      </w:r>
      <w:r w:rsidRPr="00800DFE">
        <w:rPr>
          <w:lang w:val="en-US"/>
        </w:rPr>
        <w:tab/>
      </w:r>
      <w:r w:rsidRPr="00800DFE">
        <w:rPr>
          <w:lang w:val="en-US"/>
        </w:rPr>
        <w:tab/>
      </w:r>
      <w:r w:rsidRPr="00800DFE">
        <w:rPr>
          <w:lang w:val="en-US"/>
        </w:rPr>
        <w:tab/>
      </w:r>
      <w:r>
        <w:rPr>
          <w:lang w:val="en-US"/>
        </w:rPr>
        <w:t>CommonMAC-Config-r15,</w:t>
      </w:r>
    </w:p>
    <w:p w:rsidR="00C822A3" w:rsidRDefault="00C822A3" w:rsidP="00C822A3">
      <w:pPr>
        <w:pStyle w:val="PL"/>
        <w:shd w:val="clear" w:color="auto" w:fill="E6E6E6"/>
        <w:rPr>
          <w:lang w:val="en-US"/>
        </w:rPr>
      </w:pPr>
      <w:r>
        <w:rPr>
          <w:lang w:val="en-US"/>
        </w:rPr>
        <w:tab/>
        <w:t>ca-Config-r15</w:t>
      </w:r>
      <w:r>
        <w:rPr>
          <w:lang w:val="en-US"/>
        </w:rPr>
        <w:tab/>
      </w:r>
      <w:r>
        <w:rPr>
          <w:lang w:val="en-US"/>
        </w:rPr>
        <w:tab/>
      </w:r>
      <w:r>
        <w:rPr>
          <w:lang w:val="en-US"/>
        </w:rPr>
        <w:tab/>
      </w:r>
      <w:r>
        <w:rPr>
          <w:lang w:val="en-US"/>
        </w:rPr>
        <w:tab/>
      </w:r>
      <w:r>
        <w:rPr>
          <w:lang w:val="en-US"/>
        </w:rPr>
        <w:tab/>
      </w:r>
      <w:r>
        <w:rPr>
          <w:lang w:val="en-US"/>
        </w:rPr>
        <w:tab/>
        <w:t>CA-Config-r15,</w:t>
      </w:r>
    </w:p>
    <w:p w:rsidR="00C822A3" w:rsidRDefault="00C822A3" w:rsidP="00C822A3">
      <w:pPr>
        <w:pStyle w:val="PL"/>
        <w:shd w:val="clear" w:color="auto" w:fill="E6E6E6"/>
        <w:rPr>
          <w:lang w:val="en-US"/>
        </w:rPr>
      </w:pPr>
      <w:r>
        <w:rPr>
          <w:lang w:val="en-US"/>
        </w:rPr>
        <w:tab/>
        <w:t>dc-Config-r15</w:t>
      </w:r>
      <w:r>
        <w:rPr>
          <w:lang w:val="en-US"/>
        </w:rPr>
        <w:tab/>
      </w:r>
      <w:r>
        <w:rPr>
          <w:lang w:val="en-US"/>
        </w:rPr>
        <w:tab/>
      </w:r>
      <w:r>
        <w:rPr>
          <w:lang w:val="en-US"/>
        </w:rPr>
        <w:tab/>
      </w:r>
      <w:r>
        <w:rPr>
          <w:lang w:val="en-US"/>
        </w:rPr>
        <w:tab/>
      </w:r>
      <w:r>
        <w:rPr>
          <w:lang w:val="en-US"/>
        </w:rPr>
        <w:tab/>
      </w:r>
      <w:r>
        <w:rPr>
          <w:lang w:val="en-US"/>
        </w:rPr>
        <w:tab/>
        <w:t>DC-Config-r15,</w:t>
      </w:r>
    </w:p>
    <w:p w:rsidR="00C822A3" w:rsidRDefault="00C822A3" w:rsidP="00C822A3">
      <w:pPr>
        <w:pStyle w:val="PL"/>
        <w:shd w:val="clear" w:color="auto" w:fill="E6E6E6"/>
        <w:rPr>
          <w:lang w:val="en-US"/>
        </w:rPr>
      </w:pPr>
      <w:r>
        <w:rPr>
          <w:lang w:val="en-US"/>
        </w:rPr>
        <w:tab/>
        <w:t>...</w:t>
      </w:r>
    </w:p>
    <w:p w:rsidR="00C822A3" w:rsidRPr="00C822A3" w:rsidRDefault="00C822A3" w:rsidP="00C822A3">
      <w:pPr>
        <w:pStyle w:val="PL"/>
        <w:shd w:val="clear" w:color="auto" w:fill="E6E6E6"/>
        <w:rPr>
          <w:lang w:val="en-US"/>
        </w:rPr>
      </w:pPr>
      <w:r>
        <w:rPr>
          <w:lang w:val="en-US"/>
        </w:rPr>
        <w:t>}</w:t>
      </w:r>
    </w:p>
    <w:p w:rsidR="00C822A3" w:rsidRDefault="00C822A3" w:rsidP="00C822A3">
      <w:pPr>
        <w:pStyle w:val="ListParagraph"/>
        <w:numPr>
          <w:ilvl w:val="0"/>
          <w:numId w:val="5"/>
        </w:numPr>
      </w:pPr>
      <w:r>
        <w:t>When the specification evolves in each release, some parts might be found to be common with several modules. This requires then duplication of those parts into each and every module that makes use of them. For example: A DRX option is initially introduced only for feature X, and therefore the extension of the DRX configuration is only added to that feature. Should the DRX configuration still be placed under the common part just in case feature Y could use it more easily in the future?</w:t>
      </w:r>
    </w:p>
    <w:p w:rsidR="002049B0" w:rsidRDefault="002049B0" w:rsidP="00C822A3">
      <w:pPr>
        <w:pStyle w:val="ListParagraph"/>
        <w:numPr>
          <w:ilvl w:val="0"/>
          <w:numId w:val="5"/>
        </w:numPr>
      </w:pPr>
      <w:r>
        <w:t xml:space="preserve">Some features might have to be used together, or the support of the features depends on another feature. For example, LTE DC uses CA as baseline and expands upon it. Both of them can also make use of NAICS features depending UE capabilities. How should it be documented which features can be used together? </w:t>
      </w:r>
    </w:p>
    <w:p w:rsidR="00C822A3" w:rsidRDefault="002049B0" w:rsidP="00C822A3">
      <w:pPr>
        <w:pStyle w:val="ListParagraph"/>
        <w:numPr>
          <w:ilvl w:val="0"/>
          <w:numId w:val="5"/>
        </w:numPr>
      </w:pPr>
      <w:r>
        <w:t xml:space="preserve">So far it has been assumed that the UE capabilities indicate what network can configure, and we think the same principle would be pursued in NR. </w:t>
      </w:r>
    </w:p>
    <w:p w:rsidR="002049B0" w:rsidRDefault="002049B0" w:rsidP="002049B0">
      <w:pPr>
        <w:pStyle w:val="ListParagraph"/>
        <w:numPr>
          <w:ilvl w:val="0"/>
          <w:numId w:val="5"/>
        </w:numPr>
      </w:pPr>
      <w:r>
        <w:t>The handling of multiple releases of features becomes more complicated from testing viewpoint: Should UE be allowed to early-implement some parts of e.g. feature X together with feature Y, how should the UE be certified?</w:t>
      </w:r>
    </w:p>
    <w:p w:rsidR="002049B0" w:rsidRDefault="00C822A3" w:rsidP="00CD4C7B">
      <w:r w:rsidRPr="002049B0">
        <w:rPr>
          <w:b/>
        </w:rPr>
        <w:t>Observation 7:</w:t>
      </w:r>
      <w:r>
        <w:t xml:space="preserve"> Feature-specific modules requires some duplication of IEs across multiple modules.</w:t>
      </w:r>
    </w:p>
    <w:p w:rsidR="00C822A3" w:rsidRDefault="00C822A3" w:rsidP="00CD4C7B">
      <w:r w:rsidRPr="002049B0">
        <w:rPr>
          <w:b/>
        </w:rPr>
        <w:t>Observation</w:t>
      </w:r>
      <w:r w:rsidR="002049B0" w:rsidRPr="002049B0">
        <w:rPr>
          <w:b/>
        </w:rPr>
        <w:t xml:space="preserve"> 8:</w:t>
      </w:r>
      <w:r w:rsidR="002049B0">
        <w:t xml:space="preserve"> Feature-specific modules requires using a common module in addition to the feature-specific modules.</w:t>
      </w:r>
    </w:p>
    <w:p w:rsidR="002049B0" w:rsidRDefault="002049B0" w:rsidP="00CD4C7B">
      <w:r w:rsidRPr="002049B0">
        <w:rPr>
          <w:b/>
        </w:rPr>
        <w:t>Observation 9:</w:t>
      </w:r>
      <w:r>
        <w:t xml:space="preserve"> Testability might require more thinking with feature-specific modules.</w:t>
      </w:r>
    </w:p>
    <w:p w:rsidR="002049B0" w:rsidRDefault="002049B0" w:rsidP="002049B0">
      <w:r w:rsidRPr="002049B0">
        <w:rPr>
          <w:b/>
        </w:rPr>
        <w:t>Observation 10:</w:t>
      </w:r>
      <w:r>
        <w:t xml:space="preserve"> It’s not clear how the specifications would evolve with feature-specific modules, and whether this would result in a less compact specification than currently.</w:t>
      </w:r>
    </w:p>
    <w:p w:rsidR="002049B0" w:rsidRDefault="002049B0" w:rsidP="002049B0">
      <w:r>
        <w:t>Therefore, we think further study is needed with more concrete examples.</w:t>
      </w:r>
    </w:p>
    <w:p w:rsidR="002049B0" w:rsidRDefault="00F17259" w:rsidP="002049B0">
      <w:r>
        <w:rPr>
          <w:b/>
        </w:rPr>
        <w:lastRenderedPageBreak/>
        <w:t>Proposal 3</w:t>
      </w:r>
      <w:r w:rsidR="002049B0" w:rsidRPr="002049B0">
        <w:rPr>
          <w:b/>
        </w:rPr>
        <w:t>:</w:t>
      </w:r>
      <w:r w:rsidR="002049B0">
        <w:t xml:space="preserve"> RAN2 to further discuss the benefits and disadvantages of using feature-specific modules.</w:t>
      </w:r>
    </w:p>
    <w:p w:rsidR="00CD4C7B" w:rsidRPr="006E13D1" w:rsidRDefault="00CD4C7B" w:rsidP="00CD4C7B">
      <w:pPr>
        <w:pStyle w:val="Heading1"/>
      </w:pPr>
      <w:r w:rsidRPr="006E13D1">
        <w:t>4</w:t>
      </w:r>
      <w:r w:rsidRPr="006E13D1">
        <w:tab/>
      </w:r>
      <w:r w:rsidR="007D6E4A">
        <w:t>Conclusions</w:t>
      </w:r>
    </w:p>
    <w:p w:rsidR="007D6E4A" w:rsidRDefault="007D6E4A" w:rsidP="00CD4C7B">
      <w:r>
        <w:t>We have discussed the topic of ASN.1 modules for NR RRC and observed the following:</w:t>
      </w:r>
    </w:p>
    <w:p w:rsidR="007D6E4A" w:rsidRDefault="007D6E4A" w:rsidP="007D6E4A">
      <w:r w:rsidRPr="00B70451">
        <w:rPr>
          <w:b/>
        </w:rPr>
        <w:t>Observation 1:</w:t>
      </w:r>
      <w:r>
        <w:t xml:space="preserve"> LTE ASN.1 has had modular structure since Rel-8.</w:t>
      </w:r>
    </w:p>
    <w:p w:rsidR="007D6E4A" w:rsidRDefault="007D6E4A" w:rsidP="007D6E4A">
      <w:r>
        <w:rPr>
          <w:b/>
        </w:rPr>
        <w:t>Observation 2</w:t>
      </w:r>
      <w:r w:rsidRPr="00B70451">
        <w:rPr>
          <w:b/>
        </w:rPr>
        <w:t>:</w:t>
      </w:r>
      <w:r>
        <w:t xml:space="preserve"> ASN.1 language bases some restrictions on reuse of IE definitions.</w:t>
      </w:r>
    </w:p>
    <w:p w:rsidR="007D6E4A" w:rsidRDefault="007D6E4A" w:rsidP="007D6E4A">
      <w:r w:rsidRPr="007D6E4A">
        <w:rPr>
          <w:b/>
        </w:rPr>
        <w:t>Observation 3:</w:t>
      </w:r>
      <w:r>
        <w:t xml:space="preserve"> If common module is created, there should be a rule that indicates that IE definitions that are used in more than one module are always put to the common module  </w:t>
      </w:r>
    </w:p>
    <w:p w:rsidR="007D6E4A" w:rsidRDefault="007D6E4A" w:rsidP="007D6E4A">
      <w:r>
        <w:rPr>
          <w:b/>
        </w:rPr>
        <w:t>Observation 4</w:t>
      </w:r>
      <w:r w:rsidRPr="00B70451">
        <w:rPr>
          <w:b/>
        </w:rPr>
        <w:t>:</w:t>
      </w:r>
      <w:r>
        <w:t xml:space="preserve"> Introduction of a common module is best done from the first possible release of RRC. </w:t>
      </w:r>
    </w:p>
    <w:p w:rsidR="002049B0" w:rsidRDefault="002049B0" w:rsidP="002049B0">
      <w:pPr>
        <w:pStyle w:val="B1"/>
        <w:ind w:left="0" w:firstLine="0"/>
      </w:pPr>
      <w:r w:rsidRPr="008B59B5">
        <w:rPr>
          <w:b/>
        </w:rPr>
        <w:t>Observation 5:</w:t>
      </w:r>
      <w:r>
        <w:t xml:space="preserve"> In LTE, ASN.1 modules have been created when there was a need to have separation for some parts of the configuration or maintain the message-structure independently.</w:t>
      </w:r>
    </w:p>
    <w:p w:rsidR="002049B0" w:rsidRDefault="002049B0" w:rsidP="007D6E4A">
      <w:r w:rsidRPr="008B59B5">
        <w:rPr>
          <w:b/>
        </w:rPr>
        <w:t>Observation 6:</w:t>
      </w:r>
      <w:r>
        <w:t xml:space="preserve"> RAN2 should progress the details of the two-step ASN.1 freeze of Rel-15.</w:t>
      </w:r>
    </w:p>
    <w:p w:rsidR="002049B0" w:rsidRDefault="002049B0" w:rsidP="002049B0">
      <w:r w:rsidRPr="002049B0">
        <w:rPr>
          <w:b/>
        </w:rPr>
        <w:t>Observation 7:</w:t>
      </w:r>
      <w:r>
        <w:t xml:space="preserve"> Feature-specific modules requires some duplication of IEs across multiple modules.</w:t>
      </w:r>
    </w:p>
    <w:p w:rsidR="002049B0" w:rsidRDefault="002049B0" w:rsidP="002049B0">
      <w:r w:rsidRPr="002049B0">
        <w:rPr>
          <w:b/>
        </w:rPr>
        <w:t>Observation 8:</w:t>
      </w:r>
      <w:r>
        <w:t xml:space="preserve"> Feature-specific modules requires using a common module in addition to the feature-specific modules.</w:t>
      </w:r>
    </w:p>
    <w:p w:rsidR="002049B0" w:rsidRDefault="002049B0" w:rsidP="002049B0">
      <w:r w:rsidRPr="002049B0">
        <w:rPr>
          <w:b/>
        </w:rPr>
        <w:t>Observation 9:</w:t>
      </w:r>
      <w:r>
        <w:t xml:space="preserve"> Testability might require more thinking with feature-specific modules.</w:t>
      </w:r>
    </w:p>
    <w:p w:rsidR="002049B0" w:rsidRDefault="002049B0" w:rsidP="002049B0">
      <w:r w:rsidRPr="002049B0">
        <w:rPr>
          <w:b/>
        </w:rPr>
        <w:t>Observation 10:</w:t>
      </w:r>
      <w:r>
        <w:t xml:space="preserve"> It’s not clear how the specifications would evolve with feature-specific modules, and whether this would result in a less compact specification than currently.</w:t>
      </w:r>
    </w:p>
    <w:p w:rsidR="002049B0" w:rsidRDefault="002049B0" w:rsidP="007D6E4A"/>
    <w:p w:rsidR="007D6E4A" w:rsidRDefault="007D6E4A" w:rsidP="00CD4C7B">
      <w:r>
        <w:t xml:space="preserve">Based on these, we propose that </w:t>
      </w:r>
      <w:r w:rsidR="002049B0">
        <w:t xml:space="preserve">RAN2 continues to study how to deal with </w:t>
      </w:r>
      <w:r>
        <w:t>ASN.1 modules in NR RRC:</w:t>
      </w:r>
    </w:p>
    <w:p w:rsidR="00F17259" w:rsidRDefault="00F17259" w:rsidP="00F17259">
      <w:r w:rsidRPr="0060056B">
        <w:rPr>
          <w:b/>
        </w:rPr>
        <w:t>Proposal 1:</w:t>
      </w:r>
      <w:r>
        <w:t xml:space="preserve"> RAN2 to evaluate which option to choose for NR Rel-15 ASN.1 freezing: A single module for both NSA-only and SA, or separate modules for NSA and SA parts.</w:t>
      </w:r>
    </w:p>
    <w:p w:rsidR="00F17259" w:rsidRPr="0060056B" w:rsidRDefault="00F17259" w:rsidP="00F17259">
      <w:r>
        <w:rPr>
          <w:b/>
        </w:rPr>
        <w:t>Proposal 2</w:t>
      </w:r>
      <w:r w:rsidRPr="00F17259">
        <w:rPr>
          <w:b/>
        </w:rPr>
        <w:t>:</w:t>
      </w:r>
      <w:r>
        <w:t xml:space="preserve"> If no show-stoppers are found, a single module should be used for NR Rel-15 RRC containing both NSA and SA RRC.</w:t>
      </w:r>
    </w:p>
    <w:p w:rsidR="002049B0" w:rsidRDefault="00F17259" w:rsidP="002049B0">
      <w:r>
        <w:rPr>
          <w:b/>
        </w:rPr>
        <w:t>Proposal 3</w:t>
      </w:r>
      <w:r w:rsidR="002049B0" w:rsidRPr="002049B0">
        <w:rPr>
          <w:b/>
        </w:rPr>
        <w:t>:</w:t>
      </w:r>
      <w:r w:rsidR="002049B0">
        <w:t xml:space="preserve"> RAN2 to further discuss the benefits and disadvantages of using feature-specific modules.</w:t>
      </w:r>
    </w:p>
    <w:p w:rsidR="00CD4C7B" w:rsidRPr="006E13D1" w:rsidRDefault="00CD4C7B" w:rsidP="00CD4C7B"/>
    <w:p w:rsidR="00CD4C7B" w:rsidRDefault="00CD4C7B" w:rsidP="00CD4C7B"/>
    <w:p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501F" w:rsidRDefault="0052501F">
      <w:r>
        <w:separator/>
      </w:r>
    </w:p>
  </w:endnote>
  <w:endnote w:type="continuationSeparator" w:id="0">
    <w:p w:rsidR="0052501F" w:rsidRDefault="00525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501F" w:rsidRDefault="0052501F">
      <w:r>
        <w:separator/>
      </w:r>
    </w:p>
  </w:footnote>
  <w:footnote w:type="continuationSeparator" w:id="0">
    <w:p w:rsidR="0052501F" w:rsidRDefault="005250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5C7533BE"/>
    <w:multiLevelType w:val="hybridMultilevel"/>
    <w:tmpl w:val="239A214C"/>
    <w:lvl w:ilvl="0" w:tplc="3D38F31C">
      <w:start w:val="9"/>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90468"/>
    <w:rsid w:val="000B7BCF"/>
    <w:rsid w:val="000C522B"/>
    <w:rsid w:val="000D58AB"/>
    <w:rsid w:val="00145075"/>
    <w:rsid w:val="001741A0"/>
    <w:rsid w:val="00194CD0"/>
    <w:rsid w:val="001B1B4B"/>
    <w:rsid w:val="001B49C9"/>
    <w:rsid w:val="001F168B"/>
    <w:rsid w:val="001F7831"/>
    <w:rsid w:val="00204045"/>
    <w:rsid w:val="002049B0"/>
    <w:rsid w:val="00216B16"/>
    <w:rsid w:val="0022606D"/>
    <w:rsid w:val="00274125"/>
    <w:rsid w:val="002747EC"/>
    <w:rsid w:val="002855BF"/>
    <w:rsid w:val="002F0D22"/>
    <w:rsid w:val="003172DC"/>
    <w:rsid w:val="00326069"/>
    <w:rsid w:val="0035462D"/>
    <w:rsid w:val="003B40AD"/>
    <w:rsid w:val="003C4E37"/>
    <w:rsid w:val="003E16BE"/>
    <w:rsid w:val="00401855"/>
    <w:rsid w:val="00477455"/>
    <w:rsid w:val="0049040C"/>
    <w:rsid w:val="004D3578"/>
    <w:rsid w:val="004D380D"/>
    <w:rsid w:val="004E213A"/>
    <w:rsid w:val="00503171"/>
    <w:rsid w:val="00506C28"/>
    <w:rsid w:val="0052501F"/>
    <w:rsid w:val="00534DA0"/>
    <w:rsid w:val="00543E6C"/>
    <w:rsid w:val="00565087"/>
    <w:rsid w:val="0056573F"/>
    <w:rsid w:val="0060056B"/>
    <w:rsid w:val="00611566"/>
    <w:rsid w:val="00646D99"/>
    <w:rsid w:val="00656910"/>
    <w:rsid w:val="006C66D8"/>
    <w:rsid w:val="006D1E24"/>
    <w:rsid w:val="006E1417"/>
    <w:rsid w:val="006F6A2C"/>
    <w:rsid w:val="00734A5B"/>
    <w:rsid w:val="00744E76"/>
    <w:rsid w:val="00757D40"/>
    <w:rsid w:val="00781F0F"/>
    <w:rsid w:val="0078727C"/>
    <w:rsid w:val="0079049D"/>
    <w:rsid w:val="007B18D8"/>
    <w:rsid w:val="007C095F"/>
    <w:rsid w:val="007D6E4A"/>
    <w:rsid w:val="008028A4"/>
    <w:rsid w:val="00813245"/>
    <w:rsid w:val="008768CA"/>
    <w:rsid w:val="00877EF9"/>
    <w:rsid w:val="00880559"/>
    <w:rsid w:val="008B295B"/>
    <w:rsid w:val="008B5306"/>
    <w:rsid w:val="008B59B5"/>
    <w:rsid w:val="0090271F"/>
    <w:rsid w:val="00902DB9"/>
    <w:rsid w:val="0090466A"/>
    <w:rsid w:val="00936071"/>
    <w:rsid w:val="00940212"/>
    <w:rsid w:val="00942EC2"/>
    <w:rsid w:val="00961B32"/>
    <w:rsid w:val="00974BB0"/>
    <w:rsid w:val="009A0AF3"/>
    <w:rsid w:val="009B07CD"/>
    <w:rsid w:val="009C19E9"/>
    <w:rsid w:val="00A10F02"/>
    <w:rsid w:val="00A204CA"/>
    <w:rsid w:val="00A53724"/>
    <w:rsid w:val="00A82346"/>
    <w:rsid w:val="00A9671C"/>
    <w:rsid w:val="00AA1553"/>
    <w:rsid w:val="00AF33DA"/>
    <w:rsid w:val="00B15449"/>
    <w:rsid w:val="00B47FD1"/>
    <w:rsid w:val="00B516BB"/>
    <w:rsid w:val="00B70451"/>
    <w:rsid w:val="00C12B51"/>
    <w:rsid w:val="00C24650"/>
    <w:rsid w:val="00C33079"/>
    <w:rsid w:val="00C822A3"/>
    <w:rsid w:val="00C83A13"/>
    <w:rsid w:val="00C92967"/>
    <w:rsid w:val="00CA3D0C"/>
    <w:rsid w:val="00CA654B"/>
    <w:rsid w:val="00CD4C7B"/>
    <w:rsid w:val="00D738D6"/>
    <w:rsid w:val="00D80795"/>
    <w:rsid w:val="00D87E00"/>
    <w:rsid w:val="00D9134D"/>
    <w:rsid w:val="00D96D11"/>
    <w:rsid w:val="00DA7A03"/>
    <w:rsid w:val="00DB1818"/>
    <w:rsid w:val="00DC309B"/>
    <w:rsid w:val="00DC4DA2"/>
    <w:rsid w:val="00E62835"/>
    <w:rsid w:val="00E77645"/>
    <w:rsid w:val="00E83697"/>
    <w:rsid w:val="00EC4A25"/>
    <w:rsid w:val="00F025A2"/>
    <w:rsid w:val="00F07388"/>
    <w:rsid w:val="00F17259"/>
    <w:rsid w:val="00F2026E"/>
    <w:rsid w:val="00F2210A"/>
    <w:rsid w:val="00F37743"/>
    <w:rsid w:val="00F54A3D"/>
    <w:rsid w:val="00F653B8"/>
    <w:rsid w:val="00F71B89"/>
    <w:rsid w:val="00F7353C"/>
    <w:rsid w:val="00F76F8F"/>
    <w:rsid w:val="00F841A8"/>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Caption">
    <w:name w:val="caption"/>
    <w:basedOn w:val="Normal"/>
    <w:next w:val="Normal"/>
    <w:unhideWhenUsed/>
    <w:qFormat/>
    <w:rsid w:val="00B70451"/>
    <w:pPr>
      <w:spacing w:after="200"/>
    </w:pPr>
    <w:rPr>
      <w:i/>
      <w:iCs/>
      <w:color w:val="44546A" w:themeColor="text2"/>
      <w:sz w:val="18"/>
      <w:szCs w:val="18"/>
    </w:rPr>
  </w:style>
  <w:style w:type="character" w:styleId="FollowedHyperlink">
    <w:name w:val="FollowedHyperlink"/>
    <w:basedOn w:val="DefaultParagraphFont"/>
    <w:rsid w:val="008B59B5"/>
    <w:rPr>
      <w:color w:val="954F72" w:themeColor="followedHyperlink"/>
      <w:u w:val="single"/>
    </w:rPr>
  </w:style>
  <w:style w:type="character" w:styleId="Mention">
    <w:name w:val="Mention"/>
    <w:basedOn w:val="DefaultParagraphFont"/>
    <w:uiPriority w:val="99"/>
    <w:semiHidden/>
    <w:unhideWhenUsed/>
    <w:rsid w:val="0060056B"/>
    <w:rPr>
      <w:color w:val="2B579A"/>
      <w:shd w:val="clear" w:color="auto" w:fill="E6E6E6"/>
    </w:rPr>
  </w:style>
  <w:style w:type="table" w:styleId="TableGrid">
    <w:name w:val="Table Grid"/>
    <w:basedOn w:val="TableNormal"/>
    <w:rsid w:val="006005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822A3"/>
    <w:pPr>
      <w:ind w:left="720"/>
      <w:contextualSpacing/>
    </w:pPr>
  </w:style>
  <w:style w:type="character" w:customStyle="1" w:styleId="PLChar">
    <w:name w:val="PL Char"/>
    <w:link w:val="PL"/>
    <w:rsid w:val="00C822A3"/>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3gpp.org/ftp/tsg_ran/TSG_RAN/TSGR_75/Docs/RP-170491.zi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ftp://ftp.3gpp.org/tsg_ran/TSG_RAN/TSGR_75/Docs/RP-170741.zip" TargetMode="External"/><Relationship Id="rId20" Type="http://schemas.openxmlformats.org/officeDocument/2006/relationships/hyperlink" Target="http://3gpp.org/ftp/tsg_ran/TSG_RAN/TSGR_75/Docs/RP-170491.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9.emf"/><Relationship Id="rId10" Type="http://schemas.openxmlformats.org/officeDocument/2006/relationships/footnotes" Target="footnote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8.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SP-5AIRPNAIUNRU-859666464-22</_dlc_DocId>
    <_dlc_DocIdUrl xmlns="71c5aaf6-e6ce-465b-b873-5148d2a4c105">
      <Url>https://nokia.sharepoint.com/sites/c5g/e2earch/_layouts/15/DocIdRedir.aspx?ID=SP-5AIRPNAIUNRU-859666464-22</Url>
      <Description>SP-5AIRPNAIUNRU-859666464-22</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0536643556596fd237d288adf1abe8bb">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73c85ef90c3a2f3110be081e7438b4d6"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7B8F69-B404-4EBE-BC1C-6BBCF2F1DAA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D7C1671C-A926-4F1D-BD7B-ED248781F8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8C68BC2-137A-4488-A8A4-6EC7B0C9D56C}">
  <ds:schemaRefs>
    <ds:schemaRef ds:uri="http://schemas.microsoft.com/sharepoint/events"/>
  </ds:schemaRefs>
</ds:datastoreItem>
</file>

<file path=customXml/itemProps4.xml><?xml version="1.0" encoding="utf-8"?>
<ds:datastoreItem xmlns:ds="http://schemas.openxmlformats.org/officeDocument/2006/customXml" ds:itemID="{51BAF7F0-960A-4CAF-8F22-316C225079C9}">
  <ds:schemaRefs>
    <ds:schemaRef ds:uri="http://schemas.microsoft.com/sharepoint/v3/contenttype/forms"/>
  </ds:schemaRefs>
</ds:datastoreItem>
</file>

<file path=customXml/itemProps5.xml><?xml version="1.0" encoding="utf-8"?>
<ds:datastoreItem xmlns:ds="http://schemas.openxmlformats.org/officeDocument/2006/customXml" ds:itemID="{7487D9FF-0503-4DF0-9F92-98CCD3F78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170</TotalTime>
  <Pages>7</Pages>
  <Words>1120</Words>
  <Characters>9079</Characters>
  <Application>Microsoft Office Word</Application>
  <DocSecurity>0</DocSecurity>
  <Lines>75</Lines>
  <Paragraphs>20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10179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Nokia</cp:lastModifiedBy>
  <cp:revision>13</cp:revision>
  <dcterms:created xsi:type="dcterms:W3CDTF">2016-08-12T03:53:00Z</dcterms:created>
  <dcterms:modified xsi:type="dcterms:W3CDTF">2017-03-29T12:07:00Z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a6a3086c-f7f3-4fa4-82d2-786b51f8d760</vt:lpwstr>
  </property>
</Properties>
</file>